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68" w:rsidRDefault="00065B68">
      <w:pPr>
        <w:pStyle w:val="Heading1"/>
        <w:rPr>
          <w:sz w:val="22"/>
        </w:rPr>
      </w:pPr>
      <w:r>
        <w:rPr>
          <w:sz w:val="22"/>
        </w:rPr>
        <w:t>Regents Physics</w:t>
      </w:r>
    </w:p>
    <w:p w:rsidR="00065B68" w:rsidRDefault="00065B68">
      <w:pPr>
        <w:rPr>
          <w:sz w:val="22"/>
        </w:rPr>
      </w:pPr>
      <w:r>
        <w:rPr>
          <w:sz w:val="22"/>
        </w:rPr>
        <w:t>Mr. Herman</w:t>
      </w:r>
      <w:r>
        <w:rPr>
          <w:sz w:val="22"/>
        </w:rPr>
        <w:tab/>
      </w:r>
    </w:p>
    <w:p w:rsidR="00065B68" w:rsidRDefault="00065B68">
      <w:pPr>
        <w:jc w:val="center"/>
        <w:rPr>
          <w:b/>
          <w:sz w:val="22"/>
        </w:rPr>
      </w:pPr>
      <w:r>
        <w:rPr>
          <w:b/>
          <w:sz w:val="22"/>
        </w:rPr>
        <w:t>GRADE POLICY FOR REGENTS PHYSICS</w:t>
      </w:r>
    </w:p>
    <w:p w:rsidR="00065B68" w:rsidRDefault="00065B68">
      <w:pPr>
        <w:rPr>
          <w:sz w:val="22"/>
        </w:rPr>
      </w:pPr>
    </w:p>
    <w:p w:rsidR="00065B68" w:rsidRDefault="00065B68">
      <w:pPr>
        <w:pStyle w:val="Heading2"/>
        <w:rPr>
          <w:b/>
          <w:sz w:val="20"/>
        </w:rPr>
      </w:pPr>
      <w:r>
        <w:rPr>
          <w:b/>
          <w:sz w:val="20"/>
        </w:rPr>
        <w:t>Quarter Grades</w:t>
      </w:r>
    </w:p>
    <w:p w:rsidR="00065B68" w:rsidRDefault="00065B68" w:rsidP="008861B9">
      <w:pPr>
        <w:pStyle w:val="Heading2"/>
        <w:rPr>
          <w:sz w:val="20"/>
          <w:u w:val="none"/>
        </w:rPr>
      </w:pPr>
      <w:r>
        <w:rPr>
          <w:sz w:val="20"/>
          <w:u w:val="none"/>
        </w:rPr>
        <w:t xml:space="preserve">Grading periods are 10 week quarters.  We will have a fair amount of homework, mixed with quizzes, regular tests, quarter exam and labs.  </w:t>
      </w:r>
    </w:p>
    <w:p w:rsidR="00065B68" w:rsidRDefault="00065B68"/>
    <w:p w:rsidR="00065B68" w:rsidRDefault="008861B9">
      <w:pPr>
        <w:pStyle w:val="Heading1"/>
        <w:rPr>
          <w:sz w:val="20"/>
        </w:rPr>
      </w:pPr>
      <w:r>
        <w:rPr>
          <w:sz w:val="20"/>
        </w:rPr>
        <w:t xml:space="preserve">Here is the breakdown for </w:t>
      </w:r>
      <w:r w:rsidR="00065B68">
        <w:rPr>
          <w:sz w:val="20"/>
        </w:rPr>
        <w:t>the grade calculation.</w:t>
      </w:r>
    </w:p>
    <w:p w:rsidR="00065B68" w:rsidRDefault="00065B68">
      <w:pPr>
        <w:pStyle w:val="Heading1"/>
        <w:ind w:left="3000"/>
        <w:rPr>
          <w:sz w:val="20"/>
        </w:rPr>
      </w:pPr>
    </w:p>
    <w:p w:rsidR="00065B68" w:rsidRDefault="008861B9">
      <w:pPr>
        <w:numPr>
          <w:ilvl w:val="0"/>
          <w:numId w:val="17"/>
        </w:numPr>
        <w:tabs>
          <w:tab w:val="clear" w:pos="360"/>
          <w:tab w:val="num" w:pos="2880"/>
        </w:tabs>
        <w:ind w:left="2880"/>
      </w:pPr>
      <w:r>
        <w:t>Classwork/</w:t>
      </w:r>
      <w:r w:rsidR="00065B68">
        <w:t xml:space="preserve">Homework  </w:t>
      </w:r>
      <w:r w:rsidR="00065B68">
        <w:tab/>
        <w:t>= 1 grade</w:t>
      </w:r>
      <w:r>
        <w:t xml:space="preserve"> (25%)</w:t>
      </w:r>
    </w:p>
    <w:p w:rsidR="00065B68" w:rsidRDefault="00065B68">
      <w:pPr>
        <w:numPr>
          <w:ilvl w:val="0"/>
          <w:numId w:val="17"/>
        </w:numPr>
        <w:tabs>
          <w:tab w:val="clear" w:pos="360"/>
          <w:tab w:val="num" w:pos="2880"/>
        </w:tabs>
        <w:ind w:left="2880"/>
      </w:pPr>
      <w:r>
        <w:t xml:space="preserve">Quiz </w:t>
      </w:r>
      <w:r w:rsidR="008861B9">
        <w:t>and Test Average</w:t>
      </w:r>
      <w:r>
        <w:tab/>
        <w:t>= 2 grades</w:t>
      </w:r>
      <w:r w:rsidR="008861B9">
        <w:t xml:space="preserve"> (50%)</w:t>
      </w:r>
    </w:p>
    <w:p w:rsidR="00065B68" w:rsidRDefault="00065B68">
      <w:pPr>
        <w:numPr>
          <w:ilvl w:val="0"/>
          <w:numId w:val="17"/>
        </w:numPr>
        <w:tabs>
          <w:tab w:val="clear" w:pos="360"/>
          <w:tab w:val="num" w:pos="2880"/>
        </w:tabs>
        <w:ind w:left="2880"/>
      </w:pPr>
      <w:r>
        <w:t>Quarter exam</w:t>
      </w:r>
      <w:r>
        <w:tab/>
      </w:r>
      <w:r>
        <w:tab/>
        <w:t>= 1 grades</w:t>
      </w:r>
      <w:r w:rsidR="008861B9">
        <w:t xml:space="preserve"> (25%)</w:t>
      </w:r>
    </w:p>
    <w:p w:rsidR="00065B68" w:rsidRDefault="00065B68"/>
    <w:p w:rsidR="00065B68" w:rsidRDefault="00065B68">
      <w:r>
        <w:t>This grade is then subjected to the LAB GRADE rules below.</w:t>
      </w:r>
    </w:p>
    <w:p w:rsidR="00065B68" w:rsidRDefault="00065B68">
      <w:pPr>
        <w:pStyle w:val="Heading2"/>
        <w:rPr>
          <w:sz w:val="20"/>
        </w:rPr>
      </w:pPr>
    </w:p>
    <w:p w:rsidR="00065B68" w:rsidRDefault="00065B68">
      <w:pPr>
        <w:pStyle w:val="Heading2"/>
        <w:rPr>
          <w:sz w:val="20"/>
        </w:rPr>
      </w:pPr>
      <w:r>
        <w:rPr>
          <w:sz w:val="20"/>
        </w:rPr>
        <w:t>LAB GRADES-</w:t>
      </w:r>
    </w:p>
    <w:p w:rsidR="00065B68" w:rsidRDefault="00065B68">
      <w:pPr>
        <w:numPr>
          <w:ilvl w:val="0"/>
          <w:numId w:val="13"/>
        </w:numPr>
      </w:pPr>
      <w:r>
        <w:t>Each lab report will only be given a grade of one of the following</w:t>
      </w:r>
    </w:p>
    <w:p w:rsidR="00065B68" w:rsidRDefault="00065B68">
      <w:pPr>
        <w:numPr>
          <w:ilvl w:val="0"/>
          <w:numId w:val="13"/>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30"/>
        <w:gridCol w:w="1440"/>
        <w:gridCol w:w="2970"/>
      </w:tblGrid>
      <w:tr w:rsidR="00065B68">
        <w:tblPrEx>
          <w:tblCellMar>
            <w:top w:w="0" w:type="dxa"/>
            <w:bottom w:w="0" w:type="dxa"/>
          </w:tblCellMar>
        </w:tblPrEx>
        <w:tc>
          <w:tcPr>
            <w:tcW w:w="2088" w:type="dxa"/>
          </w:tcPr>
          <w:p w:rsidR="00065B68" w:rsidRDefault="00065B68"/>
        </w:tc>
        <w:tc>
          <w:tcPr>
            <w:tcW w:w="1530" w:type="dxa"/>
          </w:tcPr>
          <w:p w:rsidR="00065B68" w:rsidRDefault="00065B68">
            <w:pPr>
              <w:jc w:val="center"/>
            </w:pPr>
            <w:r>
              <w:t>Grade on Lab</w:t>
            </w:r>
          </w:p>
        </w:tc>
        <w:tc>
          <w:tcPr>
            <w:tcW w:w="1440" w:type="dxa"/>
          </w:tcPr>
          <w:p w:rsidR="00065B68" w:rsidRDefault="00065B68">
            <w:pPr>
              <w:jc w:val="center"/>
            </w:pPr>
            <w:r>
              <w:t>Point Value</w:t>
            </w:r>
          </w:p>
        </w:tc>
        <w:tc>
          <w:tcPr>
            <w:tcW w:w="2970" w:type="dxa"/>
          </w:tcPr>
          <w:p w:rsidR="00065B68" w:rsidRDefault="00065B68">
            <w:r>
              <w:t>Lab Quality</w:t>
            </w:r>
          </w:p>
        </w:tc>
      </w:tr>
      <w:tr w:rsidR="00065B68">
        <w:tblPrEx>
          <w:tblCellMar>
            <w:top w:w="0" w:type="dxa"/>
            <w:bottom w:w="0" w:type="dxa"/>
          </w:tblCellMar>
        </w:tblPrEx>
        <w:tc>
          <w:tcPr>
            <w:tcW w:w="2088" w:type="dxa"/>
          </w:tcPr>
          <w:p w:rsidR="00065B68" w:rsidRDefault="00065B68">
            <w:r>
              <w:t>Excellent</w:t>
            </w:r>
          </w:p>
        </w:tc>
        <w:tc>
          <w:tcPr>
            <w:tcW w:w="1530" w:type="dxa"/>
          </w:tcPr>
          <w:p w:rsidR="00065B68" w:rsidRDefault="00065B68">
            <w:pPr>
              <w:jc w:val="center"/>
            </w:pPr>
            <w:r>
              <w:t>A+</w:t>
            </w:r>
          </w:p>
        </w:tc>
        <w:tc>
          <w:tcPr>
            <w:tcW w:w="1440" w:type="dxa"/>
          </w:tcPr>
          <w:p w:rsidR="00065B68" w:rsidRDefault="00065B68">
            <w:pPr>
              <w:jc w:val="center"/>
            </w:pPr>
            <w:r>
              <w:t>+1</w:t>
            </w:r>
          </w:p>
        </w:tc>
        <w:tc>
          <w:tcPr>
            <w:tcW w:w="2970" w:type="dxa"/>
          </w:tcPr>
          <w:p w:rsidR="00065B68" w:rsidRDefault="00065B68">
            <w:r>
              <w:t>Lab report beyond expectation</w:t>
            </w:r>
          </w:p>
        </w:tc>
      </w:tr>
      <w:tr w:rsidR="00065B68">
        <w:tblPrEx>
          <w:tblCellMar>
            <w:top w:w="0" w:type="dxa"/>
            <w:bottom w:w="0" w:type="dxa"/>
          </w:tblCellMar>
        </w:tblPrEx>
        <w:tc>
          <w:tcPr>
            <w:tcW w:w="2088" w:type="dxa"/>
          </w:tcPr>
          <w:p w:rsidR="00065B68" w:rsidRDefault="00065B68">
            <w:r>
              <w:t>Acceptable</w:t>
            </w:r>
          </w:p>
        </w:tc>
        <w:tc>
          <w:tcPr>
            <w:tcW w:w="1530" w:type="dxa"/>
          </w:tcPr>
          <w:p w:rsidR="00065B68" w:rsidRDefault="00065B68">
            <w:pPr>
              <w:jc w:val="center"/>
            </w:pPr>
            <w:r>
              <w:t>A</w:t>
            </w:r>
          </w:p>
        </w:tc>
        <w:tc>
          <w:tcPr>
            <w:tcW w:w="1440" w:type="dxa"/>
          </w:tcPr>
          <w:p w:rsidR="00065B68" w:rsidRDefault="00065B68">
            <w:pPr>
              <w:jc w:val="center"/>
            </w:pPr>
            <w:r>
              <w:t>0</w:t>
            </w:r>
          </w:p>
        </w:tc>
        <w:tc>
          <w:tcPr>
            <w:tcW w:w="2970" w:type="dxa"/>
          </w:tcPr>
          <w:p w:rsidR="00065B68" w:rsidRDefault="00065B68">
            <w:r>
              <w:t>Meets all requirements for lab</w:t>
            </w:r>
          </w:p>
        </w:tc>
        <w:bookmarkStart w:id="0" w:name="_GoBack"/>
        <w:bookmarkEnd w:id="0"/>
      </w:tr>
      <w:tr w:rsidR="00065B68">
        <w:tblPrEx>
          <w:tblCellMar>
            <w:top w:w="0" w:type="dxa"/>
            <w:bottom w:w="0" w:type="dxa"/>
          </w:tblCellMar>
        </w:tblPrEx>
        <w:tc>
          <w:tcPr>
            <w:tcW w:w="2088" w:type="dxa"/>
          </w:tcPr>
          <w:p w:rsidR="00065B68" w:rsidRDefault="00065B68">
            <w:r>
              <w:t>Marginally Acceptable</w:t>
            </w:r>
          </w:p>
        </w:tc>
        <w:tc>
          <w:tcPr>
            <w:tcW w:w="1530" w:type="dxa"/>
          </w:tcPr>
          <w:p w:rsidR="00065B68" w:rsidRDefault="00065B68">
            <w:pPr>
              <w:jc w:val="center"/>
            </w:pPr>
            <w:r>
              <w:t>-A</w:t>
            </w:r>
          </w:p>
        </w:tc>
        <w:tc>
          <w:tcPr>
            <w:tcW w:w="1440" w:type="dxa"/>
          </w:tcPr>
          <w:p w:rsidR="00065B68" w:rsidRDefault="00065B68">
            <w:pPr>
              <w:jc w:val="center"/>
            </w:pPr>
            <w:r>
              <w:t>-1</w:t>
            </w:r>
          </w:p>
        </w:tc>
        <w:tc>
          <w:tcPr>
            <w:tcW w:w="2970" w:type="dxa"/>
          </w:tcPr>
          <w:p w:rsidR="00065B68" w:rsidRDefault="00065B68">
            <w:r>
              <w:t>A few minor points missing</w:t>
            </w:r>
          </w:p>
        </w:tc>
      </w:tr>
      <w:tr w:rsidR="00065B68">
        <w:tblPrEx>
          <w:tblCellMar>
            <w:top w:w="0" w:type="dxa"/>
            <w:bottom w:w="0" w:type="dxa"/>
          </w:tblCellMar>
        </w:tblPrEx>
        <w:tc>
          <w:tcPr>
            <w:tcW w:w="2088" w:type="dxa"/>
          </w:tcPr>
          <w:p w:rsidR="00065B68" w:rsidRDefault="00065B68">
            <w:r>
              <w:t>Not Acceptable</w:t>
            </w:r>
          </w:p>
        </w:tc>
        <w:tc>
          <w:tcPr>
            <w:tcW w:w="1530" w:type="dxa"/>
          </w:tcPr>
          <w:p w:rsidR="00065B68" w:rsidRDefault="00065B68">
            <w:pPr>
              <w:jc w:val="center"/>
            </w:pPr>
            <w:r>
              <w:t>NA</w:t>
            </w:r>
          </w:p>
        </w:tc>
        <w:tc>
          <w:tcPr>
            <w:tcW w:w="1440" w:type="dxa"/>
          </w:tcPr>
          <w:p w:rsidR="00065B68" w:rsidRDefault="00065B68">
            <w:pPr>
              <w:jc w:val="center"/>
            </w:pPr>
            <w:r>
              <w:t>Redo or -5</w:t>
            </w:r>
          </w:p>
        </w:tc>
        <w:tc>
          <w:tcPr>
            <w:tcW w:w="2970" w:type="dxa"/>
          </w:tcPr>
          <w:p w:rsidR="00065B68" w:rsidRDefault="00065B68">
            <w:r>
              <w:t>No conclusion, or data analysis</w:t>
            </w:r>
          </w:p>
        </w:tc>
      </w:tr>
      <w:tr w:rsidR="00065B68">
        <w:tblPrEx>
          <w:tblCellMar>
            <w:top w:w="0" w:type="dxa"/>
            <w:bottom w:w="0" w:type="dxa"/>
          </w:tblCellMar>
        </w:tblPrEx>
        <w:trPr>
          <w:cantSplit/>
        </w:trPr>
        <w:tc>
          <w:tcPr>
            <w:tcW w:w="8028" w:type="dxa"/>
            <w:gridSpan w:val="4"/>
          </w:tcPr>
          <w:p w:rsidR="00065B68" w:rsidRDefault="00065B68">
            <w:r>
              <w:t xml:space="preserve">    The following are regarding late labs.  It is assumed that the lab is acceptable if graded.</w:t>
            </w:r>
          </w:p>
        </w:tc>
      </w:tr>
      <w:tr w:rsidR="00065B68">
        <w:tblPrEx>
          <w:tblCellMar>
            <w:top w:w="0" w:type="dxa"/>
            <w:bottom w:w="0" w:type="dxa"/>
          </w:tblCellMar>
        </w:tblPrEx>
        <w:tc>
          <w:tcPr>
            <w:tcW w:w="2088" w:type="dxa"/>
          </w:tcPr>
          <w:p w:rsidR="00065B68" w:rsidRDefault="00065B68">
            <w:r>
              <w:t>Late</w:t>
            </w:r>
          </w:p>
        </w:tc>
        <w:tc>
          <w:tcPr>
            <w:tcW w:w="1530" w:type="dxa"/>
          </w:tcPr>
          <w:p w:rsidR="00065B68" w:rsidRDefault="00065B68">
            <w:pPr>
              <w:jc w:val="center"/>
            </w:pPr>
            <w:r>
              <w:t>-1</w:t>
            </w:r>
          </w:p>
        </w:tc>
        <w:tc>
          <w:tcPr>
            <w:tcW w:w="1440" w:type="dxa"/>
          </w:tcPr>
          <w:p w:rsidR="00065B68" w:rsidRDefault="00065B68">
            <w:pPr>
              <w:jc w:val="center"/>
            </w:pPr>
            <w:r>
              <w:t>-1</w:t>
            </w:r>
          </w:p>
        </w:tc>
        <w:tc>
          <w:tcPr>
            <w:tcW w:w="2970" w:type="dxa"/>
          </w:tcPr>
          <w:p w:rsidR="00065B68" w:rsidRDefault="00065B68">
            <w:r>
              <w:t>Within 3 days of due date</w:t>
            </w:r>
          </w:p>
        </w:tc>
      </w:tr>
      <w:tr w:rsidR="00065B68">
        <w:tblPrEx>
          <w:tblCellMar>
            <w:top w:w="0" w:type="dxa"/>
            <w:bottom w:w="0" w:type="dxa"/>
          </w:tblCellMar>
        </w:tblPrEx>
        <w:tc>
          <w:tcPr>
            <w:tcW w:w="2088" w:type="dxa"/>
          </w:tcPr>
          <w:p w:rsidR="00065B68" w:rsidRDefault="00065B68">
            <w:r>
              <w:t xml:space="preserve">Very late </w:t>
            </w:r>
          </w:p>
        </w:tc>
        <w:tc>
          <w:tcPr>
            <w:tcW w:w="1530" w:type="dxa"/>
          </w:tcPr>
          <w:p w:rsidR="00065B68" w:rsidRDefault="00065B68">
            <w:pPr>
              <w:jc w:val="center"/>
            </w:pPr>
            <w:r>
              <w:t>-2</w:t>
            </w:r>
          </w:p>
        </w:tc>
        <w:tc>
          <w:tcPr>
            <w:tcW w:w="1440" w:type="dxa"/>
          </w:tcPr>
          <w:p w:rsidR="00065B68" w:rsidRDefault="00065B68">
            <w:pPr>
              <w:jc w:val="center"/>
            </w:pPr>
            <w:r>
              <w:t>-2</w:t>
            </w:r>
          </w:p>
        </w:tc>
        <w:tc>
          <w:tcPr>
            <w:tcW w:w="2970" w:type="dxa"/>
          </w:tcPr>
          <w:p w:rsidR="00065B68" w:rsidRDefault="00065B68">
            <w:r>
              <w:t>Up to two weeks after due</w:t>
            </w:r>
          </w:p>
        </w:tc>
      </w:tr>
      <w:tr w:rsidR="00065B68">
        <w:tblPrEx>
          <w:tblCellMar>
            <w:top w:w="0" w:type="dxa"/>
            <w:bottom w:w="0" w:type="dxa"/>
          </w:tblCellMar>
        </w:tblPrEx>
        <w:tc>
          <w:tcPr>
            <w:tcW w:w="2088" w:type="dxa"/>
          </w:tcPr>
          <w:p w:rsidR="00065B68" w:rsidRDefault="00065B68">
            <w:r>
              <w:t xml:space="preserve">Very </w:t>
            </w:r>
            <w:proofErr w:type="spellStart"/>
            <w:r>
              <w:t>very</w:t>
            </w:r>
            <w:proofErr w:type="spellEnd"/>
            <w:r>
              <w:t xml:space="preserve"> late</w:t>
            </w:r>
          </w:p>
        </w:tc>
        <w:tc>
          <w:tcPr>
            <w:tcW w:w="1530" w:type="dxa"/>
          </w:tcPr>
          <w:p w:rsidR="00065B68" w:rsidRDefault="00065B68">
            <w:pPr>
              <w:jc w:val="center"/>
            </w:pPr>
            <w:r>
              <w:t>-3</w:t>
            </w:r>
          </w:p>
        </w:tc>
        <w:tc>
          <w:tcPr>
            <w:tcW w:w="1440" w:type="dxa"/>
          </w:tcPr>
          <w:p w:rsidR="00065B68" w:rsidRDefault="00065B68">
            <w:pPr>
              <w:jc w:val="center"/>
            </w:pPr>
            <w:r>
              <w:t>-3</w:t>
            </w:r>
          </w:p>
        </w:tc>
        <w:tc>
          <w:tcPr>
            <w:tcW w:w="2970" w:type="dxa"/>
          </w:tcPr>
          <w:p w:rsidR="00065B68" w:rsidRDefault="00065B68">
            <w:r>
              <w:t>Past two weeks, by end of quarter</w:t>
            </w:r>
          </w:p>
        </w:tc>
      </w:tr>
    </w:tbl>
    <w:p w:rsidR="00065B68" w:rsidRDefault="00065B68">
      <w:r>
        <w:t xml:space="preserve"> </w:t>
      </w:r>
    </w:p>
    <w:p w:rsidR="00065B68" w:rsidRPr="008861B9" w:rsidRDefault="00065B68">
      <w:pPr>
        <w:numPr>
          <w:ilvl w:val="0"/>
          <w:numId w:val="13"/>
        </w:numPr>
        <w:rPr>
          <w:b/>
        </w:rPr>
      </w:pPr>
      <w:r w:rsidRPr="008861B9">
        <w:rPr>
          <w:b/>
        </w:rPr>
        <w:t>YOUR WORK ON LAB REPORTS (LATE/TIMELY, ACCEPTABLE OR NOT) WILL BE CONSIDERED AS POINTS ADDED TO OR SUBTRACTED FROM YOUR FINAL CALCULATED GRADE.</w:t>
      </w:r>
    </w:p>
    <w:p w:rsidR="00065B68" w:rsidRDefault="00065B68">
      <w:pPr>
        <w:numPr>
          <w:ilvl w:val="0"/>
          <w:numId w:val="13"/>
        </w:numPr>
        <w:rPr>
          <w:b/>
          <w:u w:val="single"/>
        </w:rPr>
      </w:pPr>
      <w:r>
        <w:t xml:space="preserve">LABS NOT DONE or “NOT ACCEPTABLE” LABS NOT RETURNED GET (–5) POINTS.  </w:t>
      </w:r>
      <w:r>
        <w:rPr>
          <w:b/>
          <w:u w:val="single"/>
        </w:rPr>
        <w:t xml:space="preserve">This is the quickest way </w:t>
      </w:r>
      <w:proofErr w:type="gramStart"/>
      <w:r>
        <w:rPr>
          <w:b/>
          <w:u w:val="single"/>
        </w:rPr>
        <w:t>to</w:t>
      </w:r>
      <w:proofErr w:type="gramEnd"/>
      <w:r>
        <w:rPr>
          <w:b/>
          <w:u w:val="single"/>
        </w:rPr>
        <w:t xml:space="preserve"> fail this course.  </w:t>
      </w:r>
    </w:p>
    <w:p w:rsidR="00065B68" w:rsidRDefault="00065B68">
      <w:pPr>
        <w:numPr>
          <w:ilvl w:val="0"/>
          <w:numId w:val="13"/>
        </w:numPr>
      </w:pPr>
      <w:r>
        <w:t>NOT ACCEPTABLE will become “-A” if returned within 3 days of it being returned.   Else it will be considered LATE or NOT DONE.</w:t>
      </w:r>
    </w:p>
    <w:p w:rsidR="00065B68" w:rsidRDefault="00065B68">
      <w:pPr>
        <w:numPr>
          <w:ilvl w:val="0"/>
          <w:numId w:val="13"/>
        </w:numPr>
      </w:pPr>
      <w:r>
        <w:t xml:space="preserve">You are allowed to miss one lab per marking period without any penalty (due to absence, or any circumstance).  This means if you have only one lab that is NOT DONE, you will not lose the 5 points. If you are absent from a lab exercise, you can arrange to make it up after school. </w:t>
      </w:r>
    </w:p>
    <w:p w:rsidR="00065B68" w:rsidRDefault="00065B68">
      <w:pPr>
        <w:numPr>
          <w:ilvl w:val="0"/>
          <w:numId w:val="13"/>
        </w:numPr>
      </w:pPr>
      <w:r>
        <w:t xml:space="preserve">If you hand in all your labs in </w:t>
      </w:r>
      <w:r>
        <w:rPr>
          <w:b/>
        </w:rPr>
        <w:t>on time</w:t>
      </w:r>
      <w:r>
        <w:t>, and in an ACCEPTABLE fashion, you will get 2 points added to your quarter grade. (1 Point if you missed one lab)</w:t>
      </w:r>
    </w:p>
    <w:p w:rsidR="00065B68" w:rsidRDefault="00065B68">
      <w:pPr>
        <w:numPr>
          <w:ilvl w:val="0"/>
          <w:numId w:val="13"/>
        </w:numPr>
        <w:rPr>
          <w:sz w:val="24"/>
        </w:rPr>
      </w:pPr>
      <w:r>
        <w:t>The total change to your HW/Test grade cannot be more than 50% of the way to 100 (or 0).  Example:  A 90 HW/test average with 8 “Excellent” lab grades would only change to a 95 instead of 98.</w:t>
      </w:r>
      <w:r>
        <w:rPr>
          <w:sz w:val="22"/>
        </w:rPr>
        <w:t xml:space="preserve">  </w:t>
      </w:r>
    </w:p>
    <w:p w:rsidR="00065B68" w:rsidRDefault="00065B68">
      <w:pPr>
        <w:rPr>
          <w:sz w:val="22"/>
        </w:rPr>
      </w:pPr>
    </w:p>
    <w:p w:rsidR="00065B68" w:rsidRDefault="00065B68">
      <w:pPr>
        <w:pStyle w:val="Heading4"/>
        <w:rPr>
          <w:sz w:val="20"/>
        </w:rPr>
      </w:pPr>
      <w:r>
        <w:rPr>
          <w:sz w:val="20"/>
        </w:rPr>
        <w:t>Overall Course Grade</w:t>
      </w:r>
    </w:p>
    <w:p w:rsidR="00065B68" w:rsidRDefault="00065B68">
      <w:r>
        <w:t>Each quarter grade –20%, Regents exam 20%</w:t>
      </w:r>
    </w:p>
    <w:sectPr w:rsidR="00065B68">
      <w:type w:val="continuous"/>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E06C2E"/>
    <w:multiLevelType w:val="hybridMultilevel"/>
    <w:tmpl w:val="D4A8D24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
    <w:nsid w:val="11D955C3"/>
    <w:multiLevelType w:val="singleLevel"/>
    <w:tmpl w:val="B9DA92E6"/>
    <w:lvl w:ilvl="0">
      <w:start w:val="80"/>
      <w:numFmt w:val="decimal"/>
      <w:lvlText w:val="%1"/>
      <w:lvlJc w:val="left"/>
      <w:pPr>
        <w:tabs>
          <w:tab w:val="num" w:pos="780"/>
        </w:tabs>
        <w:ind w:left="780" w:hanging="720"/>
      </w:pPr>
      <w:rPr>
        <w:rFonts w:hint="default"/>
      </w:rPr>
    </w:lvl>
  </w:abstractNum>
  <w:abstractNum w:abstractNumId="3">
    <w:nsid w:val="1DB71D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AAD58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B1200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4A6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0B14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7C68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09E28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42D93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2041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7845A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486A5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D22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5A4D0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041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A82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C232BB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7"/>
  </w:num>
  <w:num w:numId="3">
    <w:abstractNumId w:val="5"/>
  </w:num>
  <w:num w:numId="4">
    <w:abstractNumId w:val="10"/>
  </w:num>
  <w:num w:numId="5">
    <w:abstractNumId w:val="15"/>
  </w:num>
  <w:num w:numId="6">
    <w:abstractNumId w:val="18"/>
  </w:num>
  <w:num w:numId="7">
    <w:abstractNumId w:val="1"/>
  </w:num>
  <w:num w:numId="8">
    <w:abstractNumId w:val="2"/>
  </w:num>
  <w:num w:numId="9">
    <w:abstractNumId w:val="16"/>
  </w:num>
  <w:num w:numId="10">
    <w:abstractNumId w:val="0"/>
  </w:num>
  <w:num w:numId="11">
    <w:abstractNumId w:val="6"/>
  </w:num>
  <w:num w:numId="12">
    <w:abstractNumId w:val="13"/>
  </w:num>
  <w:num w:numId="13">
    <w:abstractNumId w:val="9"/>
  </w:num>
  <w:num w:numId="14">
    <w:abstractNumId w:val="14"/>
  </w:num>
  <w:num w:numId="15">
    <w:abstractNumId w:val="4"/>
  </w:num>
  <w:num w:numId="16">
    <w:abstractNumId w:val="12"/>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B68"/>
    <w:rsid w:val="00065B68"/>
    <w:rsid w:val="005102F4"/>
    <w:rsid w:val="008861B9"/>
    <w:rsid w:val="00CF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Regents Physics</vt:lpstr>
    </vt:vector>
  </TitlesOfParts>
  <Company>Wappingers Central School District</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Regents Physics</dc:title>
  <dc:creator>Tad and Sue Herman</dc:creator>
  <cp:lastModifiedBy>wcsd</cp:lastModifiedBy>
  <cp:revision>2</cp:revision>
  <cp:lastPrinted>2001-01-29T23:32:00Z</cp:lastPrinted>
  <dcterms:created xsi:type="dcterms:W3CDTF">2015-09-18T12:39:00Z</dcterms:created>
  <dcterms:modified xsi:type="dcterms:W3CDTF">2015-09-18T12:39:00Z</dcterms:modified>
</cp:coreProperties>
</file>